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14BC1837" w:rsidR="003E784C" w:rsidRPr="005B3FC6" w:rsidRDefault="005B3FC6" w:rsidP="00F07A3F">
      <w:pPr>
        <w:pStyle w:val="TPTitul2"/>
        <w:tabs>
          <w:tab w:val="left" w:pos="703"/>
          <w:tab w:val="left" w:pos="6631"/>
        </w:tabs>
        <w:jc w:val="both"/>
        <w:rPr>
          <w:b w:val="0"/>
          <w:sz w:val="18"/>
          <w:szCs w:val="18"/>
        </w:rPr>
      </w:pPr>
      <w:r w:rsidRPr="005B3FC6">
        <w:rPr>
          <w:b w:val="0"/>
          <w:sz w:val="18"/>
          <w:szCs w:val="18"/>
        </w:rPr>
        <w:t>Příloha č. 5 Smlouvy</w:t>
      </w:r>
      <w:bookmarkStart w:id="0" w:name="_GoBack"/>
      <w:bookmarkEnd w:id="0"/>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1FD255AD"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64B893F5"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638CEB40"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14B0B4D8" w14:textId="546D96FC"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1D3923C2"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6C0FDA23"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53FC2C12"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005F0BAE" w:rsidRPr="00980D84">
          <w:rPr>
            <w:rFonts w:ascii="Verdana" w:hAnsi="Verdana"/>
            <w:noProof/>
            <w:webHidden/>
            <w:sz w:val="18"/>
            <w:szCs w:val="18"/>
          </w:rPr>
          <w:fldChar w:fldCharType="end"/>
        </w:r>
      </w:hyperlink>
    </w:p>
    <w:p w14:paraId="2F4C1138" w14:textId="32DB0231"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0C18F0CC"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61369222"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293E31E9"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6A659851"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1DF149A4"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1FFEBE48"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649E3756"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005F0BAE" w:rsidRPr="00980D84">
          <w:rPr>
            <w:rFonts w:ascii="Verdana" w:hAnsi="Verdana"/>
            <w:noProof/>
            <w:webHidden/>
            <w:sz w:val="18"/>
            <w:szCs w:val="18"/>
          </w:rPr>
          <w:fldChar w:fldCharType="end"/>
        </w:r>
      </w:hyperlink>
    </w:p>
    <w:p w14:paraId="33C100A3" w14:textId="2278F3AF"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0E4244F6" w14:textId="6B6DA97C"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079B4852"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7C0927AD"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005F0BAE" w:rsidRPr="00980D84">
          <w:rPr>
            <w:rFonts w:ascii="Verdana" w:hAnsi="Verdana"/>
            <w:noProof/>
            <w:webHidden/>
            <w:sz w:val="18"/>
            <w:szCs w:val="18"/>
          </w:rPr>
          <w:fldChar w:fldCharType="end"/>
        </w:r>
      </w:hyperlink>
    </w:p>
    <w:p w14:paraId="412CC932" w14:textId="7C86C609" w:rsidR="005F0BAE" w:rsidRPr="00980D84" w:rsidRDefault="00AF4332">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End w:id="35"/>
      <w:r w:rsidRPr="00ED6198">
        <w:lastRenderedPageBreak/>
        <w:t>Výklad pojmů</w:t>
      </w:r>
      <w:bookmarkEnd w:id="36"/>
      <w:bookmarkEnd w:id="37"/>
      <w:bookmarkEnd w:id="38"/>
      <w:bookmarkEnd w:id="39"/>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w:t>
      </w:r>
      <w:proofErr w:type="spellStart"/>
      <w:r w:rsidR="00AD6A8A" w:rsidRPr="00ED6198">
        <w:t>patch</w:t>
      </w:r>
      <w:proofErr w:type="spellEnd"/>
      <w:r w:rsidR="00AD6A8A" w:rsidRPr="00ED6198">
        <w:t>“ nebo „</w:t>
      </w:r>
      <w:proofErr w:type="spellStart"/>
      <w:r w:rsidR="00AD6A8A" w:rsidRPr="00ED6198">
        <w:t>security</w:t>
      </w:r>
      <w:proofErr w:type="spellEnd"/>
      <w:r w:rsidR="00AD6A8A" w:rsidRPr="00ED6198">
        <w:t xml:space="preserve">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 xml:space="preserve">způsobem stanoveným ve Smlouvě, tj. vytvořením </w:t>
      </w:r>
      <w:proofErr w:type="spellStart"/>
      <w:r w:rsidR="00AD6A8A" w:rsidRPr="00ED6198">
        <w:t>ticketu</w:t>
      </w:r>
      <w:proofErr w:type="spellEnd"/>
      <w:r w:rsidR="00AD6A8A" w:rsidRPr="00ED6198">
        <w:t xml:space="preserve"> v </w:t>
      </w:r>
      <w:proofErr w:type="spellStart"/>
      <w:r w:rsidR="009F646D" w:rsidRPr="00ED6198">
        <w:t>Helpd</w:t>
      </w:r>
      <w:r w:rsidR="00AD6A8A" w:rsidRPr="00ED6198">
        <w:t>esku</w:t>
      </w:r>
      <w:proofErr w:type="spellEnd"/>
      <w:r w:rsidR="00AD6A8A" w:rsidRPr="00ED6198">
        <w:t xml:space="preserve">,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proofErr w:type="spellStart"/>
      <w:r w:rsidR="009F646D" w:rsidRPr="00ED6198">
        <w:t>Helpd</w:t>
      </w:r>
      <w:r w:rsidR="00420D99" w:rsidRPr="00ED6198">
        <w:t>esku</w:t>
      </w:r>
      <w:proofErr w:type="spellEnd"/>
      <w:r w:rsidR="00420D99" w:rsidRPr="00ED6198">
        <w:t xml:space="preserve"> jako </w:t>
      </w:r>
      <w:proofErr w:type="spellStart"/>
      <w:r w:rsidR="00420D99" w:rsidRPr="00ED6198">
        <w:t>ticketu</w:t>
      </w:r>
      <w:proofErr w:type="spellEnd"/>
      <w:r w:rsidR="00420D99" w:rsidRPr="00ED6198">
        <w:t xml:space="preserve">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40"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proofErr w:type="spellStart"/>
      <w:r w:rsidR="009F646D" w:rsidRPr="00ED6198">
        <w:t>Helpd</w:t>
      </w:r>
      <w:r w:rsidR="00C70AC1" w:rsidRPr="00ED6198">
        <w:t>esk</w:t>
      </w:r>
      <w:r w:rsidR="001C63B2" w:rsidRPr="00ED6198">
        <w:t>u</w:t>
      </w:r>
      <w:proofErr w:type="spellEnd"/>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1" w:name="_Hlk27941180"/>
      <w:r w:rsidRPr="00335BA4">
        <w:rPr>
          <w:b/>
          <w:bCs/>
        </w:rPr>
        <w:lastRenderedPageBreak/>
        <w:t>Dostupnost</w:t>
      </w:r>
      <w:r w:rsidRPr="00335BA4">
        <w:t xml:space="preserve"> znamená stav Softwar</w:t>
      </w:r>
      <w:r w:rsidR="00E2030D">
        <w:t>u</w:t>
      </w:r>
      <w:r w:rsidRPr="00335BA4">
        <w:t>, v průběhu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1"/>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rsidRPr="00ED6198">
        <w:t>Helpd</w:t>
      </w:r>
      <w:r w:rsidR="00E055AF" w:rsidRPr="00ED6198">
        <w:t>esku</w:t>
      </w:r>
      <w:proofErr w:type="spellEnd"/>
      <w:r w:rsidR="00E055AF" w:rsidRPr="00ED6198">
        <w:t xml:space="preserve">, byl-li Incident vyřešen. </w:t>
      </w:r>
    </w:p>
    <w:p w14:paraId="78F2F4D5" w14:textId="0A087F7A" w:rsidR="00401CF2" w:rsidRPr="00ED6198" w:rsidRDefault="00401CF2" w:rsidP="00F07A3F">
      <w:pPr>
        <w:pStyle w:val="TPText-1slovan"/>
        <w:numPr>
          <w:ilvl w:val="0"/>
          <w:numId w:val="0"/>
        </w:numPr>
        <w:ind w:left="1106"/>
        <w:jc w:val="both"/>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2"/>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w:t>
      </w:r>
      <w:proofErr w:type="spellStart"/>
      <w:r w:rsidR="00DE1BF8" w:rsidRPr="00ED6198">
        <w:t>switche</w:t>
      </w:r>
      <w:proofErr w:type="spellEnd"/>
      <w:r w:rsidR="00DE1BF8" w:rsidRPr="00ED6198">
        <w:t xml:space="preserv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08B029E6"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w:t>
      </w:r>
      <w:proofErr w:type="spellStart"/>
      <w:r w:rsidR="0078160E" w:rsidRPr="00ED6198">
        <w:t>sp</w:t>
      </w:r>
      <w:proofErr w:type="spellEnd"/>
      <w:r w:rsidR="0078160E" w:rsidRPr="00ED6198">
        <w:t xml:space="preserve">.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proofErr w:type="spellStart"/>
      <w:r w:rsidR="009F646D" w:rsidRPr="00ED6198">
        <w:t>Helpd</w:t>
      </w:r>
      <w:r w:rsidR="00C17E1C" w:rsidRPr="00ED6198">
        <w:t>esk</w:t>
      </w:r>
      <w:r w:rsidR="00CA68D1">
        <w:t>u</w:t>
      </w:r>
      <w:proofErr w:type="spellEnd"/>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proofErr w:type="spellStart"/>
      <w:r w:rsidR="009F646D" w:rsidRPr="00ED6198">
        <w:t>Helpd</w:t>
      </w:r>
      <w:r w:rsidRPr="00ED6198">
        <w:t>esku</w:t>
      </w:r>
      <w:proofErr w:type="spellEnd"/>
      <w:r w:rsidRPr="00ED6198">
        <w:t xml:space="preserve">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proofErr w:type="spellStart"/>
      <w:r w:rsidR="00760734" w:rsidRPr="00ED6198">
        <w:t>Helpdesku</w:t>
      </w:r>
      <w:proofErr w:type="spellEnd"/>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proofErr w:type="spellStart"/>
      <w:r w:rsidR="00760734" w:rsidRPr="00ED6198">
        <w:t>Helpdesku</w:t>
      </w:r>
      <w:proofErr w:type="spellEnd"/>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3"/>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lastRenderedPageBreak/>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proofErr w:type="spellStart"/>
      <w:r w:rsidRPr="00ED6198">
        <w:rPr>
          <w:b/>
          <w:bCs/>
        </w:rPr>
        <w:t>Recovery</w:t>
      </w:r>
      <w:proofErr w:type="spellEnd"/>
      <w:r w:rsidRPr="00ED6198">
        <w:rPr>
          <w:b/>
          <w:bCs/>
        </w:rPr>
        <w:t xml:space="preserve"> </w:t>
      </w:r>
      <w:proofErr w:type="spellStart"/>
      <w:r w:rsidRPr="00ED6198">
        <w:rPr>
          <w:b/>
          <w:bCs/>
        </w:rPr>
        <w:t>Time</w:t>
      </w:r>
      <w:proofErr w:type="spellEnd"/>
      <w:r w:rsidRPr="00ED6198">
        <w:rPr>
          <w:b/>
          <w:bCs/>
        </w:rPr>
        <w:t xml:space="preserv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proofErr w:type="spellStart"/>
      <w:r w:rsidRPr="00ED6198">
        <w:rPr>
          <w:b/>
          <w:bCs/>
        </w:rPr>
        <w:t>Help</w:t>
      </w:r>
      <w:r w:rsidR="00760734" w:rsidRPr="00ED6198">
        <w:rPr>
          <w:b/>
          <w:bCs/>
        </w:rPr>
        <w:t>d</w:t>
      </w:r>
      <w:r w:rsidR="00CF0087" w:rsidRPr="00ED6198">
        <w:rPr>
          <w:b/>
          <w:bCs/>
        </w:rPr>
        <w:t>esk</w:t>
      </w:r>
      <w:proofErr w:type="spellEnd"/>
      <w:r w:rsidR="00CF0087" w:rsidRPr="00ED6198">
        <w:rPr>
          <w:b/>
          <w:bCs/>
        </w:rPr>
        <w:t xml:space="preserve">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lastRenderedPageBreak/>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 xml:space="preserve">jednotlivé části alespoň ve standardu obvyklém pro open source projekty a procesy, ve spustitelném formátu odpovídajícím programovacímu jazyku a </w:t>
      </w:r>
      <w:r w:rsidR="001F27DB" w:rsidRPr="00ED6198">
        <w:lastRenderedPageBreak/>
        <w:t>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4" w:name="_Toc119490212"/>
      <w:r w:rsidRPr="00ED6198">
        <w:t>Doba a místo plnění</w:t>
      </w:r>
      <w:bookmarkEnd w:id="44"/>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5" w:name="_Toc119490213"/>
      <w:r w:rsidRPr="00ED6198">
        <w:t>P</w:t>
      </w:r>
      <w:r w:rsidR="000301CA" w:rsidRPr="00ED6198">
        <w:t>ráva a povinnosti obou stran</w:t>
      </w:r>
      <w:bookmarkEnd w:id="45"/>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6" w:name="_Toc119490214"/>
      <w:r w:rsidRPr="00ED6198">
        <w:lastRenderedPageBreak/>
        <w:t xml:space="preserve">Povinnosti </w:t>
      </w:r>
      <w:r w:rsidR="00197141" w:rsidRPr="00ED6198">
        <w:t>Dodavatele</w:t>
      </w:r>
      <w:bookmarkEnd w:id="46"/>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w:t>
      </w:r>
      <w:proofErr w:type="spellStart"/>
      <w:r w:rsidRPr="00ED6198">
        <w:t>malware</w:t>
      </w:r>
      <w:proofErr w:type="spellEnd"/>
      <w:r w:rsidRPr="00ED6198">
        <w:t xml:space="preserv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 xml:space="preserve">Dodavatel musí především postupovat tak, aby nebylo možné odstraněná data zneužít. Za odpovídající způsob likvidace dat je považováno odstranění, přepsání či fyzická likvidace nosiče informace v souladu se standardem US </w:t>
      </w:r>
      <w:proofErr w:type="spellStart"/>
      <w:r w:rsidR="0074384D" w:rsidRPr="00A43055">
        <w:t>DoD</w:t>
      </w:r>
      <w:proofErr w:type="spellEnd"/>
      <w:r w:rsidR="0074384D" w:rsidRPr="00A43055">
        <w:t xml:space="preserve">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7" w:name="_Toc28452702"/>
      <w:bookmarkStart w:id="48" w:name="_Toc119490215"/>
      <w:bookmarkEnd w:id="47"/>
      <w:r w:rsidRPr="00ED6198">
        <w:t>Povinnosti objednatele</w:t>
      </w:r>
      <w:bookmarkEnd w:id="48"/>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w:t>
      </w:r>
      <w:r w:rsidRPr="00CB0896">
        <w:lastRenderedPageBreak/>
        <w:t xml:space="preserve">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9" w:name="_Ref115695706"/>
      <w:bookmarkStart w:id="50" w:name="_Toc119490216"/>
      <w:r w:rsidRPr="00ED6198">
        <w:t>L</w:t>
      </w:r>
      <w:r w:rsidR="00A11B07" w:rsidRPr="00ED6198">
        <w:t>icenční ujednání</w:t>
      </w:r>
      <w:bookmarkEnd w:id="49"/>
      <w:bookmarkEnd w:id="50"/>
    </w:p>
    <w:p w14:paraId="2B78EBC0" w14:textId="78F14F4D" w:rsidR="007036B7" w:rsidRPr="00335BA4" w:rsidRDefault="00EC4104" w:rsidP="00664159">
      <w:pPr>
        <w:pStyle w:val="TPText-1slovan"/>
      </w:pPr>
      <w:bookmarkStart w:id="51" w:name="_Ref118295046"/>
      <w:bookmarkStart w:id="52" w:name="_Ref118361583"/>
      <w:bookmarkStart w:id="53" w:name="_Ref118361692"/>
      <w:bookmarkStart w:id="54" w:name="_Ref118361742"/>
      <w:r w:rsidRPr="00335BA4">
        <w:t>Software</w:t>
      </w:r>
      <w:bookmarkEnd w:id="51"/>
      <w:bookmarkEnd w:id="52"/>
      <w:bookmarkEnd w:id="53"/>
      <w:bookmarkEnd w:id="54"/>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5"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5"/>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 xml:space="preserve">ho </w:t>
      </w:r>
      <w:r w:rsidR="006B6F82" w:rsidRPr="00335BA4">
        <w:lastRenderedPageBreak/>
        <w:t>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6" w:name="_Ref118290286"/>
      <w:bookmarkStart w:id="57" w:name="_Ref118294788"/>
      <w:r w:rsidRPr="00E33450">
        <w:t>Standardní Software</w:t>
      </w:r>
      <w:bookmarkEnd w:id="56"/>
      <w:bookmarkEnd w:id="57"/>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8" w:name="_Ref516734271"/>
      <w:bookmarkStart w:id="59"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/licen</w:t>
      </w:r>
      <w:r w:rsidR="00A86C61">
        <w:t>c</w:t>
      </w:r>
      <w:r w:rsidR="000F0903" w:rsidRPr="00ED6198">
        <w:t xml:space="preserve">e </w:t>
      </w:r>
      <w:proofErr w:type="spellStart"/>
      <w:r w:rsidR="000F0903" w:rsidRPr="00ED6198">
        <w:t>maintenance</w:t>
      </w:r>
      <w:proofErr w:type="spellEnd"/>
      <w:r w:rsidR="000F0903" w:rsidRPr="00ED6198">
        <w:t xml:space="preserv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8"/>
      <w:bookmarkEnd w:id="59"/>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lastRenderedPageBreak/>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 xml:space="preserve">a jeho </w:t>
      </w:r>
      <w:proofErr w:type="spellStart"/>
      <w:r w:rsidRPr="00E4337D">
        <w:t>podčlánků</w:t>
      </w:r>
      <w:proofErr w:type="spellEnd"/>
      <w:r w:rsidRPr="00E4337D">
        <w:t xml:space="preserve"> se pro Standardní Software nepoužijí.</w:t>
      </w:r>
      <w:r w:rsidR="00650E11" w:rsidRPr="00E4337D">
        <w:t xml:space="preserve"> </w:t>
      </w:r>
    </w:p>
    <w:p w14:paraId="7116C1AF" w14:textId="70C4A51D" w:rsidR="007036B7" w:rsidRPr="00332EAF" w:rsidRDefault="007036B7" w:rsidP="00664159">
      <w:pPr>
        <w:pStyle w:val="TPText-1slovan"/>
      </w:pPr>
      <w:bookmarkStart w:id="60" w:name="_Toc26368452"/>
      <w:bookmarkEnd w:id="60"/>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1" w:name="_Toc119490217"/>
      <w:r w:rsidRPr="00ED6198">
        <w:t>Zdrojový kód</w:t>
      </w:r>
      <w:r w:rsidR="005F5289" w:rsidRPr="00ED6198">
        <w:t xml:space="preserve"> a dokumentace</w:t>
      </w:r>
      <w:bookmarkEnd w:id="61"/>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lastRenderedPageBreak/>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okumentace a automaticky generovaná dokumentace (</w:t>
      </w:r>
      <w:proofErr w:type="spellStart"/>
      <w:r w:rsidRPr="00ED6198">
        <w:t>Javadoc</w:t>
      </w:r>
      <w:proofErr w:type="spellEnd"/>
      <w:r w:rsidRPr="00ED6198">
        <w:t xml:space="preserve">).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2" w:name="_Toc522718164"/>
      <w:bookmarkStart w:id="63" w:name="_Toc522718166"/>
      <w:bookmarkStart w:id="64" w:name="_Toc522718168"/>
      <w:bookmarkStart w:id="65" w:name="_Toc522718169"/>
      <w:bookmarkStart w:id="66" w:name="_Toc522718172"/>
      <w:bookmarkStart w:id="67" w:name="_Toc522718174"/>
      <w:bookmarkStart w:id="68" w:name="_Toc522718184"/>
      <w:bookmarkStart w:id="69" w:name="_Toc119490218"/>
      <w:bookmarkEnd w:id="62"/>
      <w:bookmarkEnd w:id="63"/>
      <w:bookmarkEnd w:id="64"/>
      <w:bookmarkEnd w:id="65"/>
      <w:bookmarkEnd w:id="66"/>
      <w:bookmarkEnd w:id="67"/>
      <w:bookmarkEnd w:id="68"/>
      <w:r w:rsidRPr="00ED6198">
        <w:t>A</w:t>
      </w:r>
      <w:r w:rsidR="00442655" w:rsidRPr="00ED6198">
        <w:t>k</w:t>
      </w:r>
      <w:r w:rsidRPr="00ED6198">
        <w:t>ceptační řízení</w:t>
      </w:r>
      <w:bookmarkEnd w:id="69"/>
    </w:p>
    <w:p w14:paraId="782B0556" w14:textId="4122222B" w:rsidR="003E784C" w:rsidRPr="00ED6198" w:rsidRDefault="000923C9" w:rsidP="00664159">
      <w:pPr>
        <w:pStyle w:val="TPText-1slovan"/>
      </w:pPr>
      <w:bookmarkStart w:id="70" w:name="_Toc374550723"/>
      <w:bookmarkStart w:id="71"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proofErr w:type="spellStart"/>
      <w:r w:rsidR="009F646D" w:rsidRPr="00ED6198">
        <w:t>Helpd</w:t>
      </w:r>
      <w:r w:rsidR="006730E8" w:rsidRPr="00ED6198">
        <w:t>esku</w:t>
      </w:r>
      <w:proofErr w:type="spellEnd"/>
      <w:r w:rsidR="006730E8" w:rsidRPr="00ED6198">
        <w:t>,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w:t>
      </w:r>
      <w:r w:rsidR="006730E8" w:rsidRPr="00ED6198">
        <w:lastRenderedPageBreak/>
        <w:t xml:space="preserve">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2" w:name="_Hlk118177184"/>
      <w:r w:rsidR="007976EC" w:rsidRPr="00ED6198">
        <w:t xml:space="preserve">do 30 dnů od zahájení </w:t>
      </w:r>
      <w:r w:rsidR="003C691F">
        <w:t>A</w:t>
      </w:r>
      <w:r w:rsidR="007976EC" w:rsidRPr="00ED6198">
        <w:t>kceptačního řízení</w:t>
      </w:r>
      <w:bookmarkEnd w:id="72"/>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3"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3"/>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4" w:name="_Toc26368456"/>
      <w:bookmarkStart w:id="75" w:name="_Toc26368457"/>
      <w:bookmarkStart w:id="76" w:name="_Toc26368458"/>
      <w:bookmarkStart w:id="77" w:name="_Toc26368459"/>
      <w:bookmarkStart w:id="78" w:name="_Toc26368460"/>
      <w:bookmarkStart w:id="79" w:name="_Toc26368461"/>
      <w:bookmarkStart w:id="80" w:name="_Toc26368462"/>
      <w:bookmarkStart w:id="81" w:name="_Toc26368463"/>
      <w:bookmarkStart w:id="82" w:name="_Toc26368464"/>
      <w:bookmarkStart w:id="83" w:name="_Toc119490219"/>
      <w:bookmarkEnd w:id="70"/>
      <w:bookmarkEnd w:id="71"/>
      <w:bookmarkEnd w:id="74"/>
      <w:bookmarkEnd w:id="75"/>
      <w:bookmarkEnd w:id="76"/>
      <w:bookmarkEnd w:id="77"/>
      <w:bookmarkEnd w:id="78"/>
      <w:bookmarkEnd w:id="79"/>
      <w:bookmarkEnd w:id="80"/>
      <w:bookmarkEnd w:id="81"/>
      <w:bookmarkEnd w:id="82"/>
      <w:r w:rsidRPr="00ED6198">
        <w:t>Školení</w:t>
      </w:r>
      <w:bookmarkEnd w:id="83"/>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4" w:name="_Hlk109409482"/>
      <w:r w:rsidRPr="00ED6198">
        <w:lastRenderedPageBreak/>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4"/>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5" w:name="_Toc119490220"/>
      <w:r w:rsidRPr="00ED6198">
        <w:t>HELP</w:t>
      </w:r>
      <w:r w:rsidR="000B581F" w:rsidRPr="00ED6198">
        <w:t>desk</w:t>
      </w:r>
      <w:bookmarkEnd w:id="85"/>
    </w:p>
    <w:p w14:paraId="0F6364FC" w14:textId="77777777" w:rsidR="00F22481" w:rsidRPr="00335BA4" w:rsidRDefault="00CA47ED" w:rsidP="00664159">
      <w:pPr>
        <w:pStyle w:val="TPText-1slovan"/>
      </w:pPr>
      <w:bookmarkStart w:id="86"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proofErr w:type="spellStart"/>
      <w:r w:rsidR="009F646D" w:rsidRPr="00335BA4">
        <w:t>Helpd</w:t>
      </w:r>
      <w:r w:rsidRPr="00335BA4">
        <w:t>esk</w:t>
      </w:r>
      <w:proofErr w:type="spellEnd"/>
      <w:r w:rsidR="00B77EBD" w:rsidRPr="00335BA4">
        <w:t xml:space="preserve"> (včetně úhrady případných licenčních poplatků za </w:t>
      </w:r>
      <w:r w:rsidR="00892FA9" w:rsidRPr="00335BA4">
        <w:t xml:space="preserve">aplikaci </w:t>
      </w:r>
      <w:proofErr w:type="spellStart"/>
      <w:r w:rsidR="009F646D" w:rsidRPr="00335BA4">
        <w:t>Helpd</w:t>
      </w:r>
      <w:r w:rsidR="00B77EBD" w:rsidRPr="00335BA4">
        <w:t>esk</w:t>
      </w:r>
      <w:proofErr w:type="spellEnd"/>
      <w:r w:rsidR="00B77EBD" w:rsidRPr="00335BA4">
        <w:t>)</w:t>
      </w:r>
      <w:r w:rsidRPr="00335BA4">
        <w:t xml:space="preserve"> a udělit náležitá oprávnění k přístupu do </w:t>
      </w:r>
      <w:proofErr w:type="spellStart"/>
      <w:r w:rsidR="009F646D" w:rsidRPr="00335BA4">
        <w:t>Helpd</w:t>
      </w:r>
      <w:r w:rsidRPr="00335BA4">
        <w:t>esku</w:t>
      </w:r>
      <w:proofErr w:type="spellEnd"/>
      <w:r w:rsidRPr="00335BA4">
        <w:t xml:space="preserve">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proofErr w:type="spellStart"/>
      <w:r w:rsidR="009F646D" w:rsidRPr="00335BA4">
        <w:t>Helpd</w:t>
      </w:r>
      <w:r w:rsidR="009138D6" w:rsidRPr="00335BA4">
        <w:t>esk</w:t>
      </w:r>
      <w:proofErr w:type="spellEnd"/>
      <w:r w:rsidR="009138D6" w:rsidRPr="00335BA4">
        <w:t xml:space="preserve">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 xml:space="preserve">po celou dobu trvání Smlouvy užívat </w:t>
      </w:r>
      <w:proofErr w:type="spellStart"/>
      <w:r w:rsidRPr="00335BA4">
        <w:t>Helpdesk</w:t>
      </w:r>
      <w:proofErr w:type="spellEnd"/>
      <w:r w:rsidRPr="00335BA4">
        <w:t xml:space="preserve">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w:t>
      </w:r>
      <w:proofErr w:type="spellStart"/>
      <w:r w:rsidRPr="00335BA4">
        <w:t>Helpdesk</w:t>
      </w:r>
      <w:r w:rsidR="00F074E2">
        <w:t>u</w:t>
      </w:r>
      <w:proofErr w:type="spellEnd"/>
      <w:r w:rsidRPr="00335BA4">
        <w:t xml:space="preserve"> stanoví Smlouva</w:t>
      </w:r>
      <w:r w:rsidR="004B7B03" w:rsidRPr="00335BA4">
        <w:t>. Pokud</w:t>
      </w:r>
      <w:r w:rsidRPr="00335BA4">
        <w:t xml:space="preserve"> Smlouva provozovatele </w:t>
      </w:r>
      <w:proofErr w:type="spellStart"/>
      <w:r w:rsidRPr="00335BA4">
        <w:t>Helpdesk</w:t>
      </w:r>
      <w:r w:rsidR="008A38F9">
        <w:t>u</w:t>
      </w:r>
      <w:proofErr w:type="spellEnd"/>
      <w:r w:rsidR="004B7B03" w:rsidRPr="00335BA4">
        <w:t xml:space="preserve"> nestanoví</w:t>
      </w:r>
      <w:r w:rsidRPr="00335BA4">
        <w:t xml:space="preserve">, má se za to, že provozovatelem </w:t>
      </w:r>
      <w:proofErr w:type="spellStart"/>
      <w:r w:rsidRPr="00335BA4">
        <w:t>Helpdesk</w:t>
      </w:r>
      <w:r w:rsidR="008A38F9">
        <w:t>u</w:t>
      </w:r>
      <w:proofErr w:type="spellEnd"/>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w:t>
      </w:r>
      <w:proofErr w:type="spellStart"/>
      <w:r w:rsidR="00AD757A" w:rsidRPr="00335BA4">
        <w:t>Helpdesk</w:t>
      </w:r>
      <w:r w:rsidR="00EA1B4A">
        <w:t>u</w:t>
      </w:r>
      <w:proofErr w:type="spellEnd"/>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proofErr w:type="spellStart"/>
      <w:r w:rsidR="009F646D" w:rsidRPr="00ED6198">
        <w:t>Helpd</w:t>
      </w:r>
      <w:r w:rsidR="00F146D8" w:rsidRPr="00ED6198">
        <w:t>esk</w:t>
      </w:r>
      <w:proofErr w:type="spellEnd"/>
      <w:r w:rsidR="00F146D8" w:rsidRPr="00ED6198">
        <w:t xml:space="preserve"> v</w:t>
      </w:r>
      <w:r w:rsidR="00415C7C" w:rsidRPr="00ED6198">
        <w:t> </w:t>
      </w:r>
      <w:bookmarkEnd w:id="86"/>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 xml:space="preserve">u prostřednictvím přímého přístupu do </w:t>
      </w:r>
      <w:proofErr w:type="spellStart"/>
      <w:r w:rsidR="00B37074" w:rsidRPr="00ED6198">
        <w:t>Helpdesku</w:t>
      </w:r>
      <w:proofErr w:type="spellEnd"/>
      <w:r w:rsidR="00B37074" w:rsidRPr="00ED6198">
        <w:t xml:space="preserve"> na webové adrese určené Dodavatelem</w:t>
      </w:r>
      <w:r w:rsidR="00F22481" w:rsidRPr="00ED6198">
        <w:t>/Objednatel</w:t>
      </w:r>
      <w:r w:rsidR="006E50EC" w:rsidRPr="00ED6198">
        <w:t>em</w:t>
      </w:r>
      <w:r w:rsidR="00B37074" w:rsidRPr="00ED6198">
        <w:t xml:space="preserve"> dle provozních podmínek aplikace </w:t>
      </w:r>
      <w:proofErr w:type="spellStart"/>
      <w:r w:rsidR="00B37074" w:rsidRPr="00ED6198">
        <w:t>Helpdesk</w:t>
      </w:r>
      <w:proofErr w:type="spellEnd"/>
      <w:r w:rsidR="00B37074" w:rsidRPr="00ED6198">
        <w:t xml:space="preserve">, případně prostřednictvím přímého datového propojení </w:t>
      </w:r>
      <w:proofErr w:type="spellStart"/>
      <w:r w:rsidR="00B37074" w:rsidRPr="00ED6198">
        <w:t>Helpdesků</w:t>
      </w:r>
      <w:proofErr w:type="spellEnd"/>
      <w:r w:rsidR="00B37074" w:rsidRPr="00ED6198">
        <w:t xml:space="preserve">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proofErr w:type="spellStart"/>
      <w:r w:rsidRPr="00284E6C">
        <w:t>Helpd</w:t>
      </w:r>
      <w:r w:rsidR="00E32E1D" w:rsidRPr="00284E6C">
        <w:t>esk</w:t>
      </w:r>
      <w:proofErr w:type="spellEnd"/>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proofErr w:type="spellStart"/>
      <w:r w:rsidRPr="00284E6C">
        <w:t>Helpd</w:t>
      </w:r>
      <w:r w:rsidR="00E32E1D" w:rsidRPr="00284E6C">
        <w:t>esk</w:t>
      </w:r>
      <w:proofErr w:type="spellEnd"/>
      <w:r w:rsidR="00E32E1D" w:rsidRPr="00284E6C">
        <w:t xml:space="preserve">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proofErr w:type="spellStart"/>
      <w:r w:rsidRPr="00664159">
        <w:t>Helpd</w:t>
      </w:r>
      <w:r w:rsidR="00E32E1D" w:rsidRPr="00664159">
        <w:t>esku</w:t>
      </w:r>
      <w:proofErr w:type="spellEnd"/>
      <w:r w:rsidR="00E32E1D" w:rsidRPr="00664159">
        <w:t xml:space="preserve"> je záznam o veškerých úkonech </w:t>
      </w:r>
      <w:proofErr w:type="spellStart"/>
      <w:r w:rsidRPr="00664159">
        <w:t>Helpd</w:t>
      </w:r>
      <w:r w:rsidR="00E32E1D" w:rsidRPr="00664159">
        <w:t>esku</w:t>
      </w:r>
      <w:proofErr w:type="spellEnd"/>
      <w:r w:rsidR="00E32E1D" w:rsidRPr="00664159">
        <w:t xml:space="preserve">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proofErr w:type="spellStart"/>
      <w:r w:rsidRPr="00ED6198">
        <w:t>Helpdesk</w:t>
      </w:r>
      <w:proofErr w:type="spellEnd"/>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proofErr w:type="spellStart"/>
      <w:r w:rsidRPr="00ED6198">
        <w:t>Helpdesk</w:t>
      </w:r>
      <w:proofErr w:type="spellEnd"/>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lastRenderedPageBreak/>
        <w:t xml:space="preserve">druhá úroveň (L2) – nahlášení Incidentu Ohlašovatelem Dodavateli v případě, že Incident nebyl vyřešen v první úrovni podpory – je prováděno nahlášením Ohlašovatelem přes </w:t>
      </w:r>
      <w:proofErr w:type="spellStart"/>
      <w:r w:rsidR="009F646D" w:rsidRPr="00ED6198">
        <w:t>Helpdesk</w:t>
      </w:r>
      <w:proofErr w:type="spellEnd"/>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proofErr w:type="spellStart"/>
      <w:r w:rsidR="009F646D" w:rsidRPr="00ED6198">
        <w:t>Helpdesk</w:t>
      </w:r>
      <w:proofErr w:type="spellEnd"/>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proofErr w:type="spellStart"/>
      <w:r w:rsidR="009F646D" w:rsidRPr="00ED6198">
        <w:t>Helpdesk</w:t>
      </w:r>
      <w:r w:rsidR="00B748F2">
        <w:t>u</w:t>
      </w:r>
      <w:proofErr w:type="spellEnd"/>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proofErr w:type="spellStart"/>
      <w:r w:rsidR="009F646D" w:rsidRPr="00ED6198">
        <w:t>Helpdesk</w:t>
      </w:r>
      <w:r w:rsidR="000411E5">
        <w:t>u</w:t>
      </w:r>
      <w:proofErr w:type="spellEnd"/>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proofErr w:type="spellStart"/>
      <w:r w:rsidR="009F646D" w:rsidRPr="00ED6198">
        <w:t>Helpdesk</w:t>
      </w:r>
      <w:r>
        <w:t>u</w:t>
      </w:r>
      <w:proofErr w:type="spellEnd"/>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proofErr w:type="spellStart"/>
      <w:r w:rsidR="009F646D" w:rsidRPr="00ED6198">
        <w:t>Helpdesk</w:t>
      </w:r>
      <w:r>
        <w:t>u</w:t>
      </w:r>
      <w:proofErr w:type="spellEnd"/>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7" w:name="_Ref118204245"/>
      <w:bookmarkStart w:id="88" w:name="_Ref118364511"/>
      <w:bookmarkStart w:id="89" w:name="_Toc119490221"/>
      <w:r w:rsidRPr="00ED6198">
        <w:t>nahlášení incidentu</w:t>
      </w:r>
      <w:bookmarkEnd w:id="87"/>
      <w:bookmarkEnd w:id="88"/>
      <w:bookmarkEnd w:id="89"/>
    </w:p>
    <w:p w14:paraId="2B5FAFDB" w14:textId="75263020" w:rsidR="001500AE" w:rsidRPr="00ED6198" w:rsidRDefault="001500AE" w:rsidP="00664159">
      <w:pPr>
        <w:pStyle w:val="TPText-1slovan"/>
      </w:pPr>
      <w:bookmarkStart w:id="90" w:name="_Ref118204106"/>
      <w:r w:rsidRPr="00ED6198">
        <w:t xml:space="preserve">Hlášení o Incidentu </w:t>
      </w:r>
      <w:r w:rsidR="00F8502B" w:rsidRPr="00ED6198">
        <w:t xml:space="preserve">Dodavateli </w:t>
      </w:r>
      <w:r w:rsidRPr="00ED6198">
        <w:t xml:space="preserve">bude provedeno Ohlašovatelem, a to přímým zadáním Incidentu do </w:t>
      </w:r>
      <w:proofErr w:type="spellStart"/>
      <w:r w:rsidR="009F646D" w:rsidRPr="00ED6198">
        <w:t>Helpdesk</w:t>
      </w:r>
      <w:r w:rsidR="004C21C2">
        <w:t>u</w:t>
      </w:r>
      <w:proofErr w:type="spellEnd"/>
      <w:r w:rsidRPr="00ED6198">
        <w:t>, odesláním e</w:t>
      </w:r>
      <w:r w:rsidR="004C21C2">
        <w:t>-</w:t>
      </w:r>
      <w:r w:rsidRPr="00ED6198">
        <w:t xml:space="preserve">mailu nebo telefonátem na kontaktní číslo </w:t>
      </w:r>
      <w:proofErr w:type="spellStart"/>
      <w:r w:rsidR="009F646D" w:rsidRPr="00ED6198">
        <w:t>Helpdesk</w:t>
      </w:r>
      <w:proofErr w:type="spellEnd"/>
      <w:r w:rsidRPr="00ED6198">
        <w:t>, přičemž Ohlašovatel je povinen uvést popis Incidentu, a to v následujícím rozsahu:</w:t>
      </w:r>
      <w:bookmarkEnd w:id="90"/>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1"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w:t>
      </w:r>
      <w:proofErr w:type="spellStart"/>
      <w:r w:rsidRPr="00335BA4">
        <w:t>Helpdesku</w:t>
      </w:r>
      <w:proofErr w:type="spellEnd"/>
      <w:r w:rsidRPr="00335BA4">
        <w:t xml:space="preserve">, pak se za Čas nahlášení Incidentu považuje čas vytvoření </w:t>
      </w:r>
      <w:proofErr w:type="spellStart"/>
      <w:r w:rsidRPr="00335BA4">
        <w:t>ticketu</w:t>
      </w:r>
      <w:proofErr w:type="spellEnd"/>
      <w:r w:rsidRPr="00335BA4">
        <w:t xml:space="preserve"> v </w:t>
      </w:r>
      <w:proofErr w:type="spellStart"/>
      <w:r w:rsidRPr="00335BA4">
        <w:t>Helpdesku</w:t>
      </w:r>
      <w:proofErr w:type="spellEnd"/>
      <w:r w:rsidRPr="00335BA4">
        <w:t xml:space="preserve">.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prostřednictvím </w:t>
      </w:r>
      <w:proofErr w:type="spellStart"/>
      <w:r w:rsidRPr="00335BA4">
        <w:t>Helpdesk</w:t>
      </w:r>
      <w:r w:rsidR="000C47F8">
        <w:t>u</w:t>
      </w:r>
      <w:proofErr w:type="spellEnd"/>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1"/>
      <w:r w:rsidRPr="00335BA4">
        <w:t>.</w:t>
      </w:r>
    </w:p>
    <w:p w14:paraId="0DF54E13" w14:textId="79A964E6" w:rsidR="00754D6A" w:rsidRPr="00335BA4" w:rsidRDefault="00754D6A" w:rsidP="00F07A3F">
      <w:pPr>
        <w:pStyle w:val="TPNADPIS-1slovan"/>
        <w:jc w:val="both"/>
      </w:pPr>
      <w:bookmarkStart w:id="92" w:name="_Ref118366079"/>
      <w:bookmarkStart w:id="93" w:name="_Toc119490222"/>
      <w:r w:rsidRPr="00335BA4">
        <w:t>SERVISNí modely</w:t>
      </w:r>
      <w:bookmarkEnd w:id="92"/>
      <w:bookmarkEnd w:id="93"/>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4"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4"/>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lastRenderedPageBreak/>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857F0F" w:rsidRPr="00857F0F"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57F0F" w:rsidRPr="006159D9" w:rsidRDefault="00857F0F" w:rsidP="00857F0F">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138DDEC1"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99.5%</w:t>
            </w: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3A2D4FD6"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7x24</w:t>
            </w: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5C9656"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(0-24)</w:t>
            </w: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36005A07"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2 hod</w:t>
            </w: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468A90E4"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12 hod</w:t>
            </w: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4CE54635"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Následující pracovní den (NBD)</w:t>
            </w: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12C32EC2"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NBD</w:t>
            </w: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64E5713C" w:rsidR="00857F0F" w:rsidRPr="006159D9" w:rsidRDefault="00857F0F" w:rsidP="00857F0F">
            <w:pPr>
              <w:spacing w:before="120" w:after="120"/>
              <w:jc w:val="both"/>
              <w:rPr>
                <w:rFonts w:ascii="Verdana" w:hAnsi="Verdana" w:cs="Calibri"/>
                <w:sz w:val="14"/>
                <w:szCs w:val="14"/>
                <w:lang w:eastAsia="cs-CZ"/>
              </w:rPr>
            </w:pPr>
            <w:r w:rsidRPr="00857F0F">
              <w:rPr>
                <w:rFonts w:ascii="Verdana" w:hAnsi="Verdana" w:cs="Calibri"/>
                <w:sz w:val="14"/>
                <w:szCs w:val="14"/>
                <w:lang w:eastAsia="cs-CZ"/>
              </w:rPr>
              <w:t>&lt; 5 min</w:t>
            </w: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57F0F" w:rsidRPr="006159D9" w:rsidRDefault="00857F0F" w:rsidP="00857F0F">
            <w:pPr>
              <w:spacing w:before="120" w:after="120"/>
              <w:jc w:val="both"/>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57F0F" w:rsidRPr="006159D9" w:rsidRDefault="00857F0F" w:rsidP="00857F0F">
            <w:pPr>
              <w:spacing w:before="120" w:after="120"/>
              <w:jc w:val="both"/>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57F0F" w:rsidRPr="006159D9" w:rsidRDefault="00857F0F" w:rsidP="00857F0F">
            <w:pPr>
              <w:spacing w:before="120" w:after="120"/>
              <w:jc w:val="both"/>
              <w:rPr>
                <w:rFonts w:ascii="Verdana" w:hAnsi="Verdana" w:cs="Calibri"/>
                <w:sz w:val="14"/>
                <w:szCs w:val="14"/>
                <w:lang w:eastAsia="cs-CZ"/>
              </w:rPr>
            </w:pPr>
          </w:p>
        </w:tc>
      </w:tr>
      <w:tr w:rsidR="00857F0F"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57F0F" w:rsidRPr="006159D9" w:rsidRDefault="00857F0F" w:rsidP="00857F0F">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57F0F" w:rsidRPr="006159D9" w:rsidRDefault="00857F0F" w:rsidP="00857F0F">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57F0F" w:rsidRPr="006159D9" w:rsidRDefault="00857F0F" w:rsidP="00857F0F">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57F0F" w:rsidRPr="006159D9" w:rsidRDefault="00857F0F" w:rsidP="00857F0F">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57F0F" w:rsidRPr="006159D9" w:rsidRDefault="00857F0F" w:rsidP="00857F0F">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57F0F" w:rsidRPr="006159D9" w:rsidRDefault="00857F0F" w:rsidP="00857F0F">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57F0F" w:rsidRPr="006159D9" w:rsidRDefault="00857F0F" w:rsidP="00857F0F">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57F0F" w:rsidRPr="006159D9" w:rsidRDefault="00857F0F" w:rsidP="00857F0F">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57F0F" w:rsidRPr="006159D9" w:rsidRDefault="00857F0F" w:rsidP="00857F0F">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57F0F" w:rsidRPr="006159D9" w:rsidRDefault="00857F0F" w:rsidP="00857F0F">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57F0F" w:rsidRPr="006159D9" w:rsidRDefault="00857F0F" w:rsidP="00857F0F">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57F0F" w:rsidRPr="006159D9" w:rsidRDefault="00857F0F" w:rsidP="00857F0F">
            <w:pPr>
              <w:spacing w:before="120" w:after="120"/>
              <w:jc w:val="center"/>
              <w:rPr>
                <w:rFonts w:ascii="Verdana" w:hAnsi="Verdana" w:cs="Calibri"/>
                <w:sz w:val="14"/>
                <w:szCs w:val="14"/>
                <w:lang w:eastAsia="cs-CZ"/>
              </w:rPr>
            </w:pPr>
          </w:p>
        </w:tc>
      </w:tr>
    </w:tbl>
    <w:p w14:paraId="56D95D5E" w14:textId="77777777" w:rsidR="006159D9" w:rsidRDefault="006159D9" w:rsidP="006159D9">
      <w:pPr>
        <w:pStyle w:val="TPText-1slovan"/>
        <w:numPr>
          <w:ilvl w:val="0"/>
          <w:numId w:val="0"/>
        </w:numPr>
        <w:ind w:left="1106" w:hanging="681"/>
      </w:pPr>
      <w:bookmarkStart w:id="95" w:name="_Ref118357435"/>
    </w:p>
    <w:p w14:paraId="046EC98E" w14:textId="77777777" w:rsidR="006159D9" w:rsidRDefault="006159D9" w:rsidP="006159D9">
      <w:pPr>
        <w:pStyle w:val="TPText-1slovan"/>
        <w:numPr>
          <w:ilvl w:val="0"/>
          <w:numId w:val="0"/>
        </w:numPr>
        <w:ind w:left="1106" w:hanging="681"/>
      </w:pPr>
    </w:p>
    <w:p w14:paraId="113152E7" w14:textId="42B97178" w:rsidR="00FA6454" w:rsidRPr="00335BA4" w:rsidRDefault="00FA6454" w:rsidP="00664159">
      <w:pPr>
        <w:pStyle w:val="TPText-1slovan"/>
      </w:pPr>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95"/>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6CB735F4"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8A163C">
        <w:t>0</w:t>
      </w:r>
      <w:r w:rsidRPr="00335BA4">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6" w:name="_Ref118362256"/>
      <w:r w:rsidRPr="00335BA4">
        <w:t>Nestanoví-li Smlouva jinak, bude Dostupnost Software měřena na základě následujícího vzorce:</w:t>
      </w:r>
      <w:bookmarkEnd w:id="96"/>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7"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7"/>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lastRenderedPageBreak/>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8"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8"/>
    </w:p>
    <w:p w14:paraId="418B2427" w14:textId="4DD84A23" w:rsidR="001500AE" w:rsidRPr="00ED6198" w:rsidRDefault="001500AE" w:rsidP="00F07A3F">
      <w:pPr>
        <w:pStyle w:val="TPNADPIS-1slovan"/>
        <w:jc w:val="both"/>
      </w:pPr>
      <w:bookmarkStart w:id="99" w:name="_Toc119490223"/>
      <w:r w:rsidRPr="00ED6198">
        <w:t>Účast poddodavatelů</w:t>
      </w:r>
      <w:bookmarkEnd w:id="99"/>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0"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0"/>
      <w:r w:rsidRPr="00ED6198">
        <w:t xml:space="preserve">  </w:t>
      </w:r>
    </w:p>
    <w:p w14:paraId="00F49220" w14:textId="513C1D73" w:rsidR="00A0266C" w:rsidRPr="00335BA4" w:rsidRDefault="00A0266C" w:rsidP="00664159">
      <w:pPr>
        <w:pStyle w:val="TPText-1slovan"/>
      </w:pPr>
      <w:bookmarkStart w:id="101"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1"/>
    </w:p>
    <w:p w14:paraId="52E042F1" w14:textId="770B3195" w:rsidR="005F2A37" w:rsidRPr="00ED6198" w:rsidRDefault="005F2A37" w:rsidP="00F07A3F">
      <w:pPr>
        <w:pStyle w:val="TPNADPIS-1slovan"/>
        <w:jc w:val="both"/>
      </w:pPr>
      <w:bookmarkStart w:id="102" w:name="_Toc119490224"/>
      <w:r w:rsidRPr="00ED6198">
        <w:t>Realizační tým</w:t>
      </w:r>
      <w:bookmarkEnd w:id="102"/>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3" w:name="_Toc27420364"/>
      <w:bookmarkStart w:id="104" w:name="_Toc28452716"/>
      <w:bookmarkStart w:id="105" w:name="_Toc119490225"/>
      <w:bookmarkEnd w:id="103"/>
      <w:bookmarkEnd w:id="104"/>
      <w:r w:rsidRPr="00ED6198">
        <w:t>K</w:t>
      </w:r>
      <w:r w:rsidR="00B50D4F" w:rsidRPr="00ED6198">
        <w:t>omunikace stran</w:t>
      </w:r>
      <w:bookmarkEnd w:id="105"/>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w:t>
      </w:r>
      <w:r w:rsidR="00D8347D" w:rsidRPr="00335BA4">
        <w:lastRenderedPageBreak/>
        <w:t xml:space="preserve">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6" w:name="_Toc26368471"/>
      <w:bookmarkStart w:id="107" w:name="_Toc119490226"/>
      <w:bookmarkEnd w:id="106"/>
      <w:r w:rsidRPr="00ED6198">
        <w:t>Smluvní pokuty</w:t>
      </w:r>
      <w:bookmarkEnd w:id="107"/>
    </w:p>
    <w:p w14:paraId="16973C90" w14:textId="369D82CA"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8" w:name="_Ref26890919"/>
      <w:r w:rsidRPr="00335BA4">
        <w:t xml:space="preserve">Objednateli vzniká vůči </w:t>
      </w:r>
      <w:r w:rsidR="001F6504" w:rsidRPr="00335BA4">
        <w:t xml:space="preserve">Dodavateli </w:t>
      </w:r>
      <w:r w:rsidRPr="00335BA4">
        <w:t>právo na zaplacení smluvní pokuty:</w:t>
      </w:r>
      <w:bookmarkEnd w:id="108"/>
      <w:r w:rsidRPr="00335BA4">
        <w:t xml:space="preserve"> </w:t>
      </w:r>
    </w:p>
    <w:p w14:paraId="1F7456A2" w14:textId="476A5AFF" w:rsidR="006D135C" w:rsidRPr="00335BA4" w:rsidRDefault="006D135C" w:rsidP="00F07A3F">
      <w:pPr>
        <w:pStyle w:val="TPText-1slovan"/>
        <w:numPr>
          <w:ilvl w:val="0"/>
          <w:numId w:val="26"/>
        </w:numPr>
        <w:ind w:left="1701" w:hanging="425"/>
        <w:jc w:val="both"/>
      </w:pPr>
      <w:bookmarkStart w:id="109"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09"/>
    </w:p>
    <w:p w14:paraId="15900F57" w14:textId="34A3DBE8" w:rsidR="00331774" w:rsidRPr="00335BA4" w:rsidRDefault="00331774" w:rsidP="00F07A3F">
      <w:pPr>
        <w:pStyle w:val="TPText-1slovan"/>
        <w:numPr>
          <w:ilvl w:val="0"/>
          <w:numId w:val="26"/>
        </w:numPr>
        <w:ind w:left="1701" w:hanging="425"/>
        <w:jc w:val="both"/>
      </w:pPr>
      <w:bookmarkStart w:id="110" w:name="_Ref118179580"/>
      <w:bookmarkStart w:id="111"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2"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2"/>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0"/>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1"/>
      <w:r w:rsidR="003F2A50">
        <w:t>;</w:t>
      </w:r>
    </w:p>
    <w:p w14:paraId="44B4DC5C" w14:textId="5C3FC5B1"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3" w:name="_Ref118365998"/>
      <w:r w:rsidRPr="00335BA4">
        <w:t>poruší-li Dodavatel svoji</w:t>
      </w:r>
      <w:r w:rsidRPr="00ED6198">
        <w:t xml:space="preserve"> povinnost dodržet sjednanou Dobu vyřešení Incidentu, ve </w:t>
      </w:r>
      <w:r w:rsidRPr="00335BA4">
        <w:t>výši:</w:t>
      </w:r>
      <w:bookmarkEnd w:id="113"/>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4" w:name="_Ref118366017"/>
      <w:r w:rsidRPr="00335BA4">
        <w:t>v případě prodlení nad rámec sjednané lhůty pro odstranění vad v Produkčním prostředí:</w:t>
      </w:r>
      <w:bookmarkEnd w:id="114"/>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597877B"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23BC99AA"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5" w:name="_Toc119490227"/>
      <w:r w:rsidRPr="00ED6198">
        <w:t xml:space="preserve">Záruka </w:t>
      </w:r>
      <w:r w:rsidR="00F75A5B" w:rsidRPr="00ED6198">
        <w:t xml:space="preserve">za jakost </w:t>
      </w:r>
      <w:r w:rsidR="0041381C" w:rsidRPr="00ED6198">
        <w:t xml:space="preserve">a práva </w:t>
      </w:r>
      <w:r w:rsidRPr="00ED6198">
        <w:t>z vadného plnění</w:t>
      </w:r>
      <w:bookmarkEnd w:id="115"/>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proofErr w:type="spellStart"/>
      <w:r w:rsidR="009F646D" w:rsidRPr="00ED6198">
        <w:t>Helpd</w:t>
      </w:r>
      <w:r w:rsidRPr="00ED6198">
        <w:t>esku</w:t>
      </w:r>
      <w:proofErr w:type="spellEnd"/>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6" w:name="_Hlk118204552"/>
      <w:r w:rsidRPr="00335BA4">
        <w:lastRenderedPageBreak/>
        <w:t>Dodavatel neodpovídá za vady Plnění vzniklé:</w:t>
      </w:r>
    </w:p>
    <w:p w14:paraId="55BC2642" w14:textId="3EA55611" w:rsidR="00BC2A6A" w:rsidRPr="00335BA4" w:rsidRDefault="00BC2A6A">
      <w:pPr>
        <w:pStyle w:val="TPText-2slovan"/>
        <w:numPr>
          <w:ilvl w:val="0"/>
          <w:numId w:val="58"/>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16"/>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7" w:name="_Toc119490228"/>
      <w:r w:rsidRPr="00ED6198">
        <w:t>Ukončení smluvního vztahu</w:t>
      </w:r>
      <w:bookmarkEnd w:id="117"/>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lastRenderedPageBreak/>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18" w:name="_Ref115692306"/>
      <w:r w:rsidRPr="00ED6198">
        <w:t>Objednatel je oprávněn odstoupit od Smlouvy, v případě, že:</w:t>
      </w:r>
      <w:bookmarkEnd w:id="118"/>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008A34C9" w:rsidRPr="00335BA4">
        <w:t>ust</w:t>
      </w:r>
      <w:proofErr w:type="spellEnd"/>
      <w:r w:rsidR="008A34C9" w:rsidRPr="00335BA4">
        <w: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proofErr w:type="spellStart"/>
      <w:r w:rsidR="00EE1EC2" w:rsidRPr="00335BA4">
        <w:t>ust</w:t>
      </w:r>
      <w:proofErr w:type="spellEnd"/>
      <w:r w:rsidR="00EE1EC2" w:rsidRPr="00335BA4">
        <w:t xml:space="preserve">.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19" w:name="_Toc119490229"/>
      <w:r w:rsidRPr="00ED6198">
        <w:lastRenderedPageBreak/>
        <w:t>Změny smlouvy a změnové řízení</w:t>
      </w:r>
      <w:bookmarkEnd w:id="119"/>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20" w:name="_Ref115447290"/>
      <w:bookmarkStart w:id="121" w:name="_Ref115681601"/>
      <w:bookmarkStart w:id="122" w:name="_Ref115682240"/>
      <w:bookmarkStart w:id="123" w:name="_Ref115685219"/>
      <w:bookmarkStart w:id="124" w:name="_Ref115692359"/>
      <w:bookmarkStart w:id="125" w:name="_Ref115692399"/>
      <w:bookmarkStart w:id="126" w:name="_Ref116909220"/>
      <w:bookmarkStart w:id="127" w:name="_Ref117498800"/>
      <w:bookmarkStart w:id="128" w:name="_Ref117498912"/>
      <w:bookmarkStart w:id="129" w:name="_Ref117514943"/>
      <w:bookmarkStart w:id="130" w:name="_Ref117518066"/>
      <w:bookmarkStart w:id="131" w:name="_Ref117521145"/>
      <w:bookmarkStart w:id="132" w:name="_Ref117697862"/>
      <w:bookmarkStart w:id="133" w:name="_Ref117698211"/>
      <w:bookmarkStart w:id="134" w:name="_Toc119490230"/>
      <w:r w:rsidRPr="00ED6198">
        <w:t>Kybernetická bezpečnost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8DD274E" w14:textId="5D22A8C6" w:rsidR="00AD6A94" w:rsidRPr="00332EAF" w:rsidRDefault="001C63B2" w:rsidP="00664159">
      <w:pPr>
        <w:pStyle w:val="TPText-1slovan"/>
      </w:pPr>
      <w:bookmarkStart w:id="135"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5"/>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6" w:name="_Ref115606269"/>
      <w:bookmarkStart w:id="137"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6"/>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7"/>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38" w:name="_Toc117704193"/>
      <w:bookmarkStart w:id="139" w:name="_Toc118366962"/>
      <w:bookmarkStart w:id="140" w:name="_Toc119490036"/>
      <w:bookmarkStart w:id="141" w:name="_Toc119490076"/>
      <w:bookmarkStart w:id="142" w:name="_Toc119490113"/>
      <w:bookmarkStart w:id="143" w:name="_Toc119490231"/>
      <w:bookmarkEnd w:id="138"/>
      <w:bookmarkEnd w:id="139"/>
      <w:bookmarkEnd w:id="140"/>
      <w:bookmarkEnd w:id="141"/>
      <w:bookmarkEnd w:id="142"/>
      <w:bookmarkEnd w:id="143"/>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lastRenderedPageBreak/>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 xml:space="preserve">ohlášením do </w:t>
      </w:r>
      <w:proofErr w:type="spellStart"/>
      <w:r w:rsidRPr="00335BA4">
        <w:t>Helpdesk</w:t>
      </w:r>
      <w:r w:rsidR="001B096A" w:rsidRPr="00335BA4">
        <w:t>u</w:t>
      </w:r>
      <w:proofErr w:type="spellEnd"/>
      <w:r w:rsidRPr="00335BA4">
        <w:t xml:space="preserve"> Objednatele.</w:t>
      </w:r>
    </w:p>
    <w:p w14:paraId="66C3C539" w14:textId="12640EB5" w:rsidR="00004AE2" w:rsidRPr="00335BA4" w:rsidRDefault="00004AE2" w:rsidP="00664159">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 xml:space="preserve">Objednatel má právo v souladu s ustanoveními § 2593 Občanského zákoníku prostřednictvím určených osob kdykoli kontrolovat plnění Smlouvy u Dodavatele a jeho </w:t>
      </w:r>
      <w:r w:rsidRPr="00335BA4">
        <w:lastRenderedPageBreak/>
        <w:t>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4"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5" w:name="_Toc117704195"/>
      <w:bookmarkStart w:id="146" w:name="_Toc118366964"/>
      <w:bookmarkStart w:id="147" w:name="_Toc119490038"/>
      <w:bookmarkStart w:id="148" w:name="_Toc119490078"/>
      <w:bookmarkStart w:id="149" w:name="_Toc119490115"/>
      <w:bookmarkStart w:id="150" w:name="_Toc119490233"/>
      <w:bookmarkEnd w:id="144"/>
      <w:bookmarkEnd w:id="145"/>
      <w:bookmarkEnd w:id="146"/>
      <w:bookmarkEnd w:id="147"/>
      <w:bookmarkEnd w:id="148"/>
      <w:bookmarkEnd w:id="149"/>
      <w:bookmarkEnd w:id="150"/>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1" w:name="_Toc117704197"/>
      <w:bookmarkStart w:id="152" w:name="_Toc118366966"/>
      <w:bookmarkStart w:id="153" w:name="_Toc119490040"/>
      <w:bookmarkStart w:id="154" w:name="_Toc119490080"/>
      <w:bookmarkStart w:id="155" w:name="_Toc119490117"/>
      <w:bookmarkStart w:id="156" w:name="_Toc119490235"/>
      <w:bookmarkEnd w:id="151"/>
      <w:bookmarkEnd w:id="152"/>
      <w:bookmarkEnd w:id="153"/>
      <w:bookmarkEnd w:id="154"/>
      <w:bookmarkEnd w:id="155"/>
      <w:bookmarkEnd w:id="156"/>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xml:space="preserve">, </w:t>
      </w:r>
      <w:r w:rsidR="00901950" w:rsidRPr="002836E8">
        <w:lastRenderedPageBreak/>
        <w:t>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7" w:name="_Ref117498661"/>
      <w:bookmarkStart w:id="158" w:name="_Toc119490236"/>
      <w:r w:rsidRPr="00ED6198">
        <w:t>Ochrana osobních údajů</w:t>
      </w:r>
      <w:bookmarkEnd w:id="157"/>
      <w:bookmarkEnd w:id="158"/>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w:t>
      </w:r>
      <w:r w:rsidRPr="00ED6198">
        <w:lastRenderedPageBreak/>
        <w:t>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59" w:name="_Ref115696518"/>
      <w:bookmarkStart w:id="160" w:name="_Toc119490237"/>
      <w:r w:rsidRPr="00ED6198">
        <w:lastRenderedPageBreak/>
        <w:t>ochrana důvěrných informací</w:t>
      </w:r>
      <w:bookmarkEnd w:id="159"/>
      <w:bookmarkEnd w:id="160"/>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1"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1"/>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EF7EF" w14:textId="77777777" w:rsidR="00AF4332" w:rsidRDefault="00AF4332" w:rsidP="00533FFF">
      <w:pPr>
        <w:spacing w:after="0" w:line="240" w:lineRule="auto"/>
      </w:pPr>
      <w:r>
        <w:separator/>
      </w:r>
    </w:p>
  </w:endnote>
  <w:endnote w:type="continuationSeparator" w:id="0">
    <w:p w14:paraId="72521C80" w14:textId="77777777" w:rsidR="00AF4332" w:rsidRDefault="00AF4332" w:rsidP="00533FFF">
      <w:pPr>
        <w:spacing w:after="0" w:line="240" w:lineRule="auto"/>
      </w:pPr>
      <w:r>
        <w:continuationSeparator/>
      </w:r>
    </w:p>
  </w:endnote>
  <w:endnote w:type="continuationNotice" w:id="1">
    <w:p w14:paraId="7FAE55B5" w14:textId="77777777" w:rsidR="00AF4332" w:rsidRDefault="00AF43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165ABD65"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857F0F">
            <w:rPr>
              <w:rFonts w:ascii="Verdana" w:eastAsia="Verdana" w:hAnsi="Verdana"/>
              <w:b/>
              <w:noProof/>
              <w:color w:val="FF5200"/>
              <w:sz w:val="12"/>
              <w:szCs w:val="12"/>
            </w:rPr>
            <w:t>25</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857F0F">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http://schemas.openxmlformats.org/drawingml/2006/main" xmlns:arto="http://schemas.microsoft.com/office/word/2006/arto">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a="http://schemas.openxmlformats.org/drawingml/2006/main" xmlns:arto="http://schemas.microsoft.com/office/word/2006/arto">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7D1ACC04"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857F0F">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857F0F">
            <w:rPr>
              <w:rFonts w:ascii="Verdana" w:eastAsia="Verdana" w:hAnsi="Verdana"/>
              <w:b/>
              <w:noProof/>
              <w:color w:val="FF5200"/>
              <w:sz w:val="12"/>
              <w:szCs w:val="12"/>
            </w:rPr>
            <w:t>3</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A360BC" w14:textId="77777777" w:rsidR="00AF4332" w:rsidRDefault="00AF4332" w:rsidP="00533FFF">
      <w:pPr>
        <w:spacing w:after="0" w:line="240" w:lineRule="auto"/>
      </w:pPr>
      <w:r>
        <w:separator/>
      </w:r>
    </w:p>
  </w:footnote>
  <w:footnote w:type="continuationSeparator" w:id="0">
    <w:p w14:paraId="5ACA77FE" w14:textId="77777777" w:rsidR="00AF4332" w:rsidRDefault="00AF4332" w:rsidP="00533FFF">
      <w:pPr>
        <w:spacing w:after="0" w:line="240" w:lineRule="auto"/>
      </w:pPr>
      <w:r>
        <w:continuationSeparator/>
      </w:r>
    </w:p>
  </w:footnote>
  <w:footnote w:type="continuationNotice" w:id="1">
    <w:p w14:paraId="189A0A24" w14:textId="77777777" w:rsidR="00AF4332" w:rsidRDefault="00AF4332">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2"/>
  </w:num>
  <w:num w:numId="3">
    <w:abstractNumId w:val="34"/>
  </w:num>
  <w:num w:numId="4">
    <w:abstractNumId w:val="31"/>
  </w:num>
  <w:num w:numId="5">
    <w:abstractNumId w:val="57"/>
  </w:num>
  <w:num w:numId="6">
    <w:abstractNumId w:val="47"/>
  </w:num>
  <w:num w:numId="7">
    <w:abstractNumId w:val="61"/>
  </w:num>
  <w:num w:numId="8">
    <w:abstractNumId w:val="50"/>
  </w:num>
  <w:num w:numId="9">
    <w:abstractNumId w:val="22"/>
  </w:num>
  <w:num w:numId="10">
    <w:abstractNumId w:val="30"/>
  </w:num>
  <w:num w:numId="11">
    <w:abstractNumId w:val="62"/>
  </w:num>
  <w:num w:numId="12">
    <w:abstractNumId w:val="48"/>
  </w:num>
  <w:num w:numId="13">
    <w:abstractNumId w:val="1"/>
  </w:num>
  <w:num w:numId="14">
    <w:abstractNumId w:val="36"/>
  </w:num>
  <w:num w:numId="15">
    <w:abstractNumId w:val="42"/>
  </w:num>
  <w:num w:numId="16">
    <w:abstractNumId w:val="26"/>
  </w:num>
  <w:num w:numId="17">
    <w:abstractNumId w:val="39"/>
  </w:num>
  <w:num w:numId="18">
    <w:abstractNumId w:val="12"/>
  </w:num>
  <w:num w:numId="19">
    <w:abstractNumId w:val="33"/>
  </w:num>
  <w:num w:numId="20">
    <w:abstractNumId w:val="35"/>
  </w:num>
  <w:num w:numId="21">
    <w:abstractNumId w:val="29"/>
  </w:num>
  <w:num w:numId="22">
    <w:abstractNumId w:val="17"/>
  </w:num>
  <w:num w:numId="23">
    <w:abstractNumId w:val="44"/>
  </w:num>
  <w:num w:numId="24">
    <w:abstractNumId w:val="38"/>
  </w:num>
  <w:num w:numId="25">
    <w:abstractNumId w:val="10"/>
  </w:num>
  <w:num w:numId="26">
    <w:abstractNumId w:val="4"/>
  </w:num>
  <w:num w:numId="27">
    <w:abstractNumId w:val="27"/>
  </w:num>
  <w:num w:numId="28">
    <w:abstractNumId w:val="40"/>
  </w:num>
  <w:num w:numId="29">
    <w:abstractNumId w:val="25"/>
  </w:num>
  <w:num w:numId="30">
    <w:abstractNumId w:val="15"/>
  </w:num>
  <w:num w:numId="31">
    <w:abstractNumId w:val="60"/>
  </w:num>
  <w:num w:numId="32">
    <w:abstractNumId w:val="51"/>
  </w:num>
  <w:num w:numId="33">
    <w:abstractNumId w:val="0"/>
  </w:num>
  <w:num w:numId="34">
    <w:abstractNumId w:val="37"/>
  </w:num>
  <w:num w:numId="35">
    <w:abstractNumId w:val="21"/>
  </w:num>
  <w:num w:numId="36">
    <w:abstractNumId w:val="5"/>
  </w:num>
  <w:num w:numId="37">
    <w:abstractNumId w:val="49"/>
  </w:num>
  <w:num w:numId="38">
    <w:abstractNumId w:val="14"/>
  </w:num>
  <w:num w:numId="39">
    <w:abstractNumId w:val="55"/>
  </w:num>
  <w:num w:numId="40">
    <w:abstractNumId w:val="13"/>
  </w:num>
  <w:num w:numId="41">
    <w:abstractNumId w:val="43"/>
  </w:num>
  <w:num w:numId="42">
    <w:abstractNumId w:val="28"/>
  </w:num>
  <w:num w:numId="43">
    <w:abstractNumId w:val="9"/>
  </w:num>
  <w:num w:numId="44">
    <w:abstractNumId w:val="7"/>
  </w:num>
  <w:num w:numId="45">
    <w:abstractNumId w:val="45"/>
  </w:num>
  <w:num w:numId="46">
    <w:abstractNumId w:val="11"/>
  </w:num>
  <w:num w:numId="47">
    <w:abstractNumId w:val="8"/>
  </w:num>
  <w:num w:numId="48">
    <w:abstractNumId w:val="52"/>
  </w:num>
  <w:num w:numId="49">
    <w:abstractNumId w:val="53"/>
  </w:num>
  <w:num w:numId="50">
    <w:abstractNumId w:val="58"/>
  </w:num>
  <w:num w:numId="51">
    <w:abstractNumId w:val="20"/>
  </w:num>
  <w:num w:numId="52">
    <w:abstractNumId w:val="46"/>
  </w:num>
  <w:num w:numId="53">
    <w:abstractNumId w:val="54"/>
  </w:num>
  <w:num w:numId="54">
    <w:abstractNumId w:val="24"/>
  </w:num>
  <w:num w:numId="55">
    <w:abstractNumId w:val="6"/>
  </w:num>
  <w:num w:numId="56">
    <w:abstractNumId w:val="59"/>
  </w:num>
  <w:num w:numId="57">
    <w:abstractNumId w:val="23"/>
  </w:num>
  <w:num w:numId="58">
    <w:abstractNumId w:val="2"/>
  </w:num>
  <w:num w:numId="59">
    <w:abstractNumId w:val="16"/>
  </w:num>
  <w:num w:numId="6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18"/>
  </w:num>
  <w:num w:numId="65">
    <w:abstractNumId w:val="56"/>
  </w:num>
  <w:num w:numId="66">
    <w:abstractNumId w:val="41"/>
  </w:num>
  <w:num w:numId="6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3FC6"/>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0F"/>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4332"/>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6F1"/>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264CF-6FF9-4E51-8A0D-93D3BB0136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0C603A-B57C-4454-B6A8-276D99828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A44885-3FFD-470C-A9FA-41C1A9E432A3}">
  <ds:schemaRefs>
    <ds:schemaRef ds:uri="http://schemas.microsoft.com/sharepoint/v3/contenttype/forms"/>
  </ds:schemaRefs>
</ds:datastoreItem>
</file>

<file path=customXml/itemProps4.xml><?xml version="1.0" encoding="utf-8"?>
<ds:datastoreItem xmlns:ds="http://schemas.openxmlformats.org/officeDocument/2006/customXml" ds:itemID="{A5FC0CA8-C9F1-495A-926B-E3FFF5953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14797</Words>
  <Characters>87307</Characters>
  <Application>Microsoft Office Word</Application>
  <DocSecurity>0</DocSecurity>
  <Lines>727</Lines>
  <Paragraphs>203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2023-06-19T06:26:00Z</dcterms:created>
  <dcterms:modified xsi:type="dcterms:W3CDTF">2023-07-28T12:42:00Z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